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18" w:rsidRPr="00DF3818" w:rsidRDefault="00DF3818" w:rsidP="00DF3818">
      <w:pPr>
        <w:spacing w:after="0" w:line="276" w:lineRule="auto"/>
        <w:jc w:val="center"/>
        <w:rPr>
          <w:rFonts w:ascii="Times New Roman" w:eastAsia="Times New Roman" w:hAnsi="Times New Roman" w:cs="Times New Roman"/>
          <w:sz w:val="24"/>
          <w:szCs w:val="24"/>
          <w:lang w:eastAsia="en-AU"/>
        </w:rPr>
      </w:pPr>
    </w:p>
    <w:p w:rsidR="00DF3818" w:rsidRPr="00DF3818" w:rsidRDefault="00DF3818" w:rsidP="00DF3818">
      <w:pPr>
        <w:spacing w:after="0" w:line="276" w:lineRule="auto"/>
        <w:jc w:val="center"/>
        <w:rPr>
          <w:rFonts w:ascii="Times New Roman" w:eastAsia="Times New Roman" w:hAnsi="Times New Roman" w:cs="Times New Roman"/>
          <w:sz w:val="24"/>
          <w:szCs w:val="24"/>
          <w:lang w:eastAsia="en-AU"/>
        </w:rPr>
      </w:pPr>
      <w:r w:rsidRPr="00DF3818">
        <w:rPr>
          <w:rFonts w:ascii="Arial" w:eastAsia="Times New Roman" w:hAnsi="Arial" w:cs="Arial"/>
          <w:b/>
          <w:bCs/>
          <w:color w:val="000000"/>
          <w:sz w:val="28"/>
          <w:szCs w:val="28"/>
          <w:lang w:eastAsia="en-AU"/>
        </w:rPr>
        <w:t>First-ever National Depreciation Register launched by Washington Brown</w:t>
      </w:r>
    </w:p>
    <w:p w:rsidR="00DF3818" w:rsidRPr="00DF3818" w:rsidRDefault="00DF3818" w:rsidP="00DF3818">
      <w:pPr>
        <w:spacing w:after="0" w:line="276" w:lineRule="auto"/>
        <w:jc w:val="center"/>
        <w:rPr>
          <w:rFonts w:ascii="Times New Roman" w:eastAsia="Times New Roman" w:hAnsi="Times New Roman" w:cs="Times New Roman"/>
          <w:sz w:val="24"/>
          <w:szCs w:val="24"/>
          <w:lang w:eastAsia="en-AU"/>
        </w:rPr>
      </w:pPr>
      <w:r w:rsidRPr="00DF3818">
        <w:rPr>
          <w:rFonts w:ascii="Arial" w:eastAsia="Times New Roman" w:hAnsi="Arial" w:cs="Arial"/>
          <w:i/>
          <w:iCs/>
          <w:color w:val="000000"/>
          <w:lang w:eastAsia="en-AU"/>
        </w:rPr>
        <w:t>There has never been a faster, easier and more affordable way to find the depreciation costs for investment properties</w:t>
      </w:r>
      <w:r>
        <w:rPr>
          <w:rFonts w:ascii="Arial" w:eastAsia="Times New Roman" w:hAnsi="Arial" w:cs="Arial"/>
          <w:i/>
          <w:iCs/>
          <w:color w:val="000000"/>
          <w:lang w:eastAsia="en-AU"/>
        </w:rPr>
        <w:t>.</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b/>
          <w:bCs/>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b/>
          <w:bCs/>
          <w:color w:val="000000"/>
          <w:lang w:eastAsia="en-AU"/>
        </w:rPr>
        <w:t>23 February 2017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Property investors are set to save time and money through the launch of the first-ever</w:t>
      </w:r>
      <w:hyperlink r:id="rId4" w:history="1">
        <w:r w:rsidRPr="00DF3818">
          <w:rPr>
            <w:rFonts w:ascii="Calibri" w:eastAsia="Times New Roman" w:hAnsi="Calibri" w:cs="Arial"/>
            <w:color w:val="000000"/>
            <w:lang w:eastAsia="en-AU"/>
          </w:rPr>
          <w:t xml:space="preserve"> </w:t>
        </w:r>
        <w:r w:rsidRPr="00DF3818">
          <w:rPr>
            <w:rFonts w:ascii="Calibri" w:eastAsia="Times New Roman" w:hAnsi="Calibri" w:cs="Arial"/>
            <w:color w:val="1155CC"/>
            <w:u w:val="single"/>
            <w:lang w:eastAsia="en-AU"/>
          </w:rPr>
          <w:t>National Depreciation Register</w:t>
        </w:r>
      </w:hyperlink>
      <w:r w:rsidRPr="00DF3818">
        <w:rPr>
          <w:rFonts w:ascii="Calibri" w:eastAsia="Times New Roman" w:hAnsi="Calibri" w:cs="Arial"/>
          <w:color w:val="000000"/>
          <w:lang w:eastAsia="en-AU"/>
        </w:rPr>
        <w:t xml:space="preserve"> (NDR) in Australia.</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The NDR, revealed as one of two major announcements by one of Australia’s oldest quantity surveying organisations, Washington Brown, is an established database that includes most residential properties in Australia and their depreciation costs.</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The firm has made use of the extensive data it has accumulated over the past 40 years to create the NDR, which property investors will be </w:t>
      </w:r>
      <w:r>
        <w:rPr>
          <w:rFonts w:ascii="Calibri" w:eastAsia="Times New Roman" w:hAnsi="Calibri" w:cs="Arial"/>
          <w:color w:val="000000"/>
          <w:lang w:eastAsia="en-AU"/>
        </w:rPr>
        <w:t>able to access online, search</w:t>
      </w:r>
      <w:r w:rsidRPr="00DF3818">
        <w:rPr>
          <w:rFonts w:ascii="Calibri" w:eastAsia="Times New Roman" w:hAnsi="Calibri" w:cs="Arial"/>
          <w:color w:val="000000"/>
          <w:lang w:eastAsia="en-AU"/>
        </w:rPr>
        <w:t xml:space="preserve"> for their </w:t>
      </w:r>
      <w:r>
        <w:rPr>
          <w:rFonts w:ascii="Calibri" w:eastAsia="Times New Roman" w:hAnsi="Calibri" w:cs="Arial"/>
          <w:color w:val="000000"/>
          <w:lang w:eastAsia="en-AU"/>
        </w:rPr>
        <w:t>property in seconds and purchase</w:t>
      </w:r>
      <w:r w:rsidRPr="00DF3818">
        <w:rPr>
          <w:rFonts w:ascii="Calibri" w:eastAsia="Times New Roman" w:hAnsi="Calibri" w:cs="Arial"/>
          <w:color w:val="000000"/>
          <w:lang w:eastAsia="en-AU"/>
        </w:rPr>
        <w:t xml:space="preserve"> a report quickly, after selecting the right affordable package for their needs.</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Default="00DF3818" w:rsidP="00DF3818">
      <w:pPr>
        <w:spacing w:after="0" w:line="276" w:lineRule="auto"/>
        <w:rPr>
          <w:rFonts w:ascii="Calibri" w:eastAsia="Times New Roman" w:hAnsi="Calibri" w:cs="Arial"/>
          <w:b/>
          <w:bCs/>
          <w:color w:val="000000"/>
          <w:sz w:val="24"/>
          <w:szCs w:val="24"/>
          <w:lang w:eastAsia="en-AU"/>
        </w:rPr>
      </w:pPr>
      <w:r w:rsidRPr="00DF3818">
        <w:rPr>
          <w:rFonts w:ascii="Calibri" w:eastAsia="Times New Roman" w:hAnsi="Calibri" w:cs="Arial"/>
          <w:b/>
          <w:bCs/>
          <w:color w:val="000000"/>
          <w:sz w:val="24"/>
          <w:szCs w:val="24"/>
          <w:lang w:eastAsia="en-AU"/>
        </w:rPr>
        <w:t>Why was the NDR created?</w:t>
      </w:r>
    </w:p>
    <w:p w:rsidR="00DF3818" w:rsidRPr="00DF3818" w:rsidRDefault="00DF3818" w:rsidP="00DF3818">
      <w:pPr>
        <w:spacing w:after="0" w:line="276" w:lineRule="auto"/>
        <w:rPr>
          <w:rFonts w:ascii="Calibri" w:eastAsia="Times New Roman" w:hAnsi="Calibri" w:cs="Arial"/>
          <w:b/>
          <w:bCs/>
          <w:color w:val="000000"/>
          <w:sz w:val="24"/>
          <w:szCs w:val="24"/>
          <w:lang w:eastAsia="en-AU"/>
        </w:rPr>
      </w:pP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Washington Brown CEO Tyron Hyde said the NDR was established in response to the changes to depreciation in the Federal Budget last year, which saw depreciation claims for second-hand residential properties purchased after May 10, 2017 limited to the building allowance, with plant and equipment allowances no longer </w:t>
      </w:r>
      <w:r>
        <w:rPr>
          <w:rFonts w:ascii="Calibri" w:eastAsia="Times New Roman" w:hAnsi="Calibri" w:cs="Arial"/>
          <w:color w:val="000000"/>
          <w:lang w:eastAsia="en-AU"/>
        </w:rPr>
        <w:t>eligible</w:t>
      </w:r>
      <w:r w:rsidRPr="00DF3818">
        <w:rPr>
          <w:rFonts w:ascii="Calibri" w:eastAsia="Times New Roman" w:hAnsi="Calibri" w:cs="Arial"/>
          <w:color w:val="000000"/>
          <w:lang w:eastAsia="en-AU"/>
        </w:rPr>
        <w:t xml:space="preserve"> to be claimed.</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The changes left property investors feeling confused about what depreciation costs they can claim moving forward, he said.</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“That’s why we established the National Depreciation Register. To give property investors a quick and easy way to find the actual depreciation costs of their properties – without having to read confusing legislation.</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“While you will still need a property inspection to prepare a depreciation schedule for a property purchased before May 9, 2017. If you have purchased a residential property after this date and all you require is the building allowance - investors can search the NDR and see whether Washington Brown has the costs on file.</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“If you purchased a residential property after May 9, 2017, then we are likely to already have the costs for your property on file as Washington Brown has been involved in the construction of thousands of developments across Australia. </w:t>
      </w:r>
    </w:p>
    <w:p w:rsidR="00DF3818" w:rsidRPr="00DF3818" w:rsidRDefault="00DF3818" w:rsidP="00DF3818">
      <w:pPr>
        <w:spacing w:after="0" w:line="276" w:lineRule="auto"/>
        <w:rPr>
          <w:rFonts w:ascii="Calibri" w:eastAsia="Times New Roman" w:hAnsi="Calibri" w:cs="Times New Roman"/>
          <w:lang w:eastAsia="en-AU"/>
        </w:rPr>
      </w:pP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“Clients will have the choice of ordering a building allowance only report which may not require an inspection, or </w:t>
      </w:r>
      <w:r>
        <w:rPr>
          <w:rFonts w:ascii="Calibri" w:eastAsia="Times New Roman" w:hAnsi="Calibri" w:cs="Arial"/>
          <w:color w:val="000000"/>
          <w:lang w:eastAsia="en-AU"/>
        </w:rPr>
        <w:t xml:space="preserve">also </w:t>
      </w:r>
      <w:r w:rsidRPr="00DF3818">
        <w:rPr>
          <w:rFonts w:ascii="Calibri" w:eastAsia="Times New Roman" w:hAnsi="Calibri" w:cs="Arial"/>
          <w:color w:val="000000"/>
          <w:lang w:eastAsia="en-AU"/>
        </w:rPr>
        <w:t xml:space="preserve">get a full breakdown of plant and equipment to save on their capital gains tax. </w:t>
      </w:r>
    </w:p>
    <w:p w:rsidR="00DF3818" w:rsidRPr="00DF3818" w:rsidRDefault="00DF3818" w:rsidP="00DF3818">
      <w:pPr>
        <w:spacing w:after="0" w:line="276" w:lineRule="auto"/>
        <w:rPr>
          <w:rFonts w:ascii="Calibri" w:eastAsia="Times New Roman" w:hAnsi="Calibri" w:cs="Times New Roman"/>
          <w:lang w:eastAsia="en-AU"/>
        </w:rPr>
      </w:pPr>
    </w:p>
    <w:p w:rsidR="00DF3818" w:rsidRDefault="00DF3818" w:rsidP="00DF3818">
      <w:pPr>
        <w:spacing w:after="0" w:line="276" w:lineRule="auto"/>
        <w:rPr>
          <w:rFonts w:ascii="Calibri" w:eastAsia="Times New Roman" w:hAnsi="Calibri" w:cs="Arial"/>
          <w:color w:val="000000"/>
          <w:lang w:eastAsia="en-AU"/>
        </w:rPr>
      </w:pPr>
    </w:p>
    <w:p w:rsidR="00DF3818" w:rsidRDefault="00DF3818" w:rsidP="00DF3818">
      <w:pPr>
        <w:spacing w:after="0" w:line="276" w:lineRule="auto"/>
        <w:rPr>
          <w:rFonts w:ascii="Calibri" w:eastAsia="Times New Roman" w:hAnsi="Calibri" w:cs="Arial"/>
          <w:color w:val="000000"/>
          <w:lang w:eastAsia="en-AU"/>
        </w:rPr>
      </w:pP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“Either way, clients will benefit by using the NDR, powered by Washington Brown.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“This is the first-ever NDR, so there has never been a faster, easier and more affordable way for property investors to claim the maximum depreciation costs for their investment property, maximising tax returns and putting more money back into their pockets.”</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Default="00DF3818" w:rsidP="00DF3818">
      <w:pPr>
        <w:spacing w:after="0" w:line="276" w:lineRule="auto"/>
        <w:rPr>
          <w:rFonts w:ascii="Calibri" w:eastAsia="Times New Roman" w:hAnsi="Calibri" w:cs="Arial"/>
          <w:b/>
          <w:bCs/>
          <w:color w:val="000000"/>
          <w:lang w:eastAsia="en-AU"/>
        </w:rPr>
      </w:pPr>
      <w:r w:rsidRPr="00DF3818">
        <w:rPr>
          <w:rFonts w:ascii="Calibri" w:eastAsia="Times New Roman" w:hAnsi="Calibri" w:cs="Arial"/>
          <w:b/>
          <w:bCs/>
          <w:color w:val="000000"/>
          <w:lang w:eastAsia="en-AU"/>
        </w:rPr>
        <w:t>Washington Brown is best placed to deliver the NDR</w:t>
      </w:r>
    </w:p>
    <w:p w:rsidR="00DF3818" w:rsidRPr="00DF3818" w:rsidRDefault="00DF3818" w:rsidP="00DF3818">
      <w:pPr>
        <w:spacing w:after="0" w:line="276" w:lineRule="auto"/>
        <w:rPr>
          <w:rFonts w:ascii="Calibri" w:eastAsia="Times New Roman" w:hAnsi="Calibri" w:cs="Times New Roman"/>
          <w:lang w:eastAsia="en-AU"/>
        </w:rPr>
      </w:pP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Washington Brown has worked with developers, marketers and property investors for 40 years now, preparing more than 225,500 reports.</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“One of the advantages of being a traditional quantity surveyor is amassing costs and plans for most of the residential properties in Australia, and now we want to share our entire database of costs with investors, to offer faster and more accurate depreciation reports.” said Mr Hyde.</w:t>
      </w:r>
    </w:p>
    <w:p w:rsidR="00DF3818" w:rsidRPr="00DF3818" w:rsidRDefault="00DF3818" w:rsidP="00DF3818">
      <w:pPr>
        <w:spacing w:after="0" w:line="276" w:lineRule="auto"/>
        <w:rPr>
          <w:rFonts w:ascii="Calibri" w:eastAsia="Times New Roman" w:hAnsi="Calibri" w:cs="Times New Roman"/>
          <w:lang w:eastAsia="en-AU"/>
        </w:rPr>
      </w:pP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Default="00DF3818" w:rsidP="00DF3818">
      <w:pPr>
        <w:spacing w:after="0" w:line="276" w:lineRule="auto"/>
        <w:rPr>
          <w:rFonts w:ascii="Calibri" w:eastAsia="Times New Roman" w:hAnsi="Calibri" w:cs="Arial"/>
          <w:b/>
          <w:bCs/>
          <w:color w:val="000000"/>
          <w:lang w:eastAsia="en-AU"/>
        </w:rPr>
      </w:pPr>
      <w:r w:rsidRPr="00DF3818">
        <w:rPr>
          <w:rFonts w:ascii="Calibri" w:eastAsia="Times New Roman" w:hAnsi="Calibri" w:cs="Arial"/>
          <w:b/>
          <w:bCs/>
          <w:color w:val="000000"/>
          <w:lang w:eastAsia="en-AU"/>
        </w:rPr>
        <w:t>Three easy steps</w:t>
      </w:r>
    </w:p>
    <w:p w:rsidR="00DF3818" w:rsidRPr="00DF3818" w:rsidRDefault="00DF3818" w:rsidP="00DF3818">
      <w:pPr>
        <w:spacing w:after="0" w:line="276" w:lineRule="auto"/>
        <w:rPr>
          <w:rFonts w:ascii="Calibri" w:eastAsia="Times New Roman" w:hAnsi="Calibri" w:cs="Times New Roman"/>
          <w:lang w:eastAsia="en-AU"/>
        </w:rPr>
      </w:pP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Investors can search Washington Brown’s extensive database via the </w:t>
      </w:r>
      <w:hyperlink r:id="rId5" w:history="1">
        <w:r w:rsidRPr="00DF3818">
          <w:rPr>
            <w:rFonts w:ascii="Calibri" w:eastAsia="Times New Roman" w:hAnsi="Calibri" w:cs="Arial"/>
            <w:color w:val="1155CC"/>
            <w:u w:val="single"/>
            <w:lang w:eastAsia="en-AU"/>
          </w:rPr>
          <w:t xml:space="preserve">National Depreciation Register </w:t>
        </w:r>
      </w:hyperlink>
      <w:r w:rsidRPr="00DF3818">
        <w:rPr>
          <w:rFonts w:ascii="Calibri" w:eastAsia="Times New Roman" w:hAnsi="Calibri" w:cs="Arial"/>
          <w:color w:val="000000"/>
          <w:lang w:eastAsia="en-AU"/>
        </w:rPr>
        <w:t>online to find the depreciation report for their investment property.</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All they have to do is type in the property address in the search bar, answer two simple questions and they’ll then be offered the best package for a depreciation report based upon the property. They can then purchase the report online to claim legitimate deductions and maximise their tax return for the financial year.</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“By searching the National Depreciation Register database, property investors might find that we’ve already got all the information you need for your next investment in order for you to claim the maximum depreciation you’re entitled to,” said Mr Hyde.</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“It doesn’t get easier than that.”</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jc w:val="center"/>
        <w:rPr>
          <w:rFonts w:ascii="Calibri" w:eastAsia="Times New Roman" w:hAnsi="Calibri" w:cs="Times New Roman"/>
          <w:lang w:eastAsia="en-AU"/>
        </w:rPr>
      </w:pPr>
      <w:r w:rsidRPr="00DF3818">
        <w:rPr>
          <w:rFonts w:ascii="Calibri" w:eastAsia="Times New Roman" w:hAnsi="Calibri" w:cs="Arial"/>
          <w:color w:val="000000"/>
          <w:lang w:eastAsia="en-AU"/>
        </w:rPr>
        <w:t>- ENDS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b/>
          <w:bCs/>
          <w:color w:val="000000"/>
          <w:lang w:eastAsia="en-AU"/>
        </w:rPr>
        <w:t xml:space="preserve">For further information visit </w:t>
      </w:r>
      <w:hyperlink r:id="rId6" w:history="1">
        <w:r w:rsidRPr="00742205">
          <w:rPr>
            <w:rStyle w:val="Hyperlink"/>
            <w:rFonts w:ascii="Calibri" w:eastAsia="Times New Roman" w:hAnsi="Calibri" w:cs="Arial"/>
            <w:b/>
            <w:bCs/>
            <w:lang w:eastAsia="en-AU"/>
          </w:rPr>
          <w:t>www.nationaldepreciationregister.com.au</w:t>
        </w:r>
      </w:hyperlink>
      <w:r>
        <w:rPr>
          <w:rFonts w:ascii="Calibri" w:eastAsia="Times New Roman" w:hAnsi="Calibri" w:cs="Arial"/>
          <w:b/>
          <w:bCs/>
          <w:color w:val="000000"/>
          <w:lang w:eastAsia="en-AU"/>
        </w:rPr>
        <w:t xml:space="preserve"> </w:t>
      </w:r>
      <w:r w:rsidRPr="00DF3818">
        <w:rPr>
          <w:rFonts w:ascii="Calibri" w:eastAsia="Times New Roman" w:hAnsi="Calibri" w:cs="Arial"/>
          <w:b/>
          <w:bCs/>
          <w:color w:val="000000"/>
          <w:lang w:eastAsia="en-AU"/>
        </w:rPr>
        <w:t>or please contact:</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b/>
          <w:bCs/>
          <w:color w:val="000000"/>
          <w:lang w:eastAsia="en-AU"/>
        </w:rPr>
        <w:t xml:space="preserve"> </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Tyron Hyde   </w:t>
      </w:r>
      <w:r w:rsidRPr="00DF3818">
        <w:rPr>
          <w:rFonts w:ascii="Calibri" w:eastAsia="Times New Roman" w:hAnsi="Calibri" w:cs="Arial"/>
          <w:color w:val="000000"/>
          <w:lang w:eastAsia="en-AU"/>
        </w:rPr>
        <w:tab/>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CEO | Washington Brown                               </w:t>
      </w:r>
      <w:r w:rsidRPr="00DF3818">
        <w:rPr>
          <w:rFonts w:ascii="Calibri" w:eastAsia="Times New Roman" w:hAnsi="Calibri" w:cs="Arial"/>
          <w:color w:val="000000"/>
          <w:lang w:eastAsia="en-AU"/>
        </w:rPr>
        <w:tab/>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Tel: 0414 653 652                                                      </w:t>
      </w:r>
      <w:r w:rsidRPr="00DF3818">
        <w:rPr>
          <w:rFonts w:ascii="Calibri" w:eastAsia="Times New Roman" w:hAnsi="Calibri" w:cs="Arial"/>
          <w:color w:val="000000"/>
          <w:lang w:eastAsia="en-AU"/>
        </w:rPr>
        <w:tab/>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E: tyron@washingtonbrown.com.au</w:t>
      </w:r>
    </w:p>
    <w:p w:rsidR="00DF3818" w:rsidRPr="00DF3818" w:rsidRDefault="00DF3818" w:rsidP="00DF3818">
      <w:pPr>
        <w:spacing w:after="0" w:line="276" w:lineRule="auto"/>
        <w:rPr>
          <w:rFonts w:ascii="Calibri" w:eastAsia="Times New Roman" w:hAnsi="Calibri" w:cs="Times New Roman"/>
          <w:lang w:eastAsia="en-AU"/>
        </w:rPr>
      </w:pPr>
      <w:r w:rsidRPr="00DF3818">
        <w:rPr>
          <w:rFonts w:ascii="Calibri" w:eastAsia="Times New Roman" w:hAnsi="Calibri" w:cs="Arial"/>
          <w:color w:val="000000"/>
          <w:lang w:eastAsia="en-AU"/>
        </w:rPr>
        <w:t xml:space="preserve"> </w:t>
      </w:r>
    </w:p>
    <w:p w:rsidR="00A9043F" w:rsidRPr="00DF3818" w:rsidRDefault="00A9043F" w:rsidP="00DF3818">
      <w:pPr>
        <w:spacing w:after="0" w:line="276" w:lineRule="auto"/>
        <w:rPr>
          <w:rFonts w:ascii="Calibri" w:eastAsia="Times New Roman" w:hAnsi="Calibri" w:cs="Arial"/>
          <w:color w:val="000000"/>
          <w:lang w:eastAsia="en-AU"/>
        </w:rPr>
      </w:pPr>
      <w:bookmarkStart w:id="0" w:name="_GoBack"/>
      <w:bookmarkEnd w:id="0"/>
    </w:p>
    <w:sectPr w:rsidR="00A9043F" w:rsidRPr="00DF3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18"/>
    <w:rsid w:val="00A9043F"/>
    <w:rsid w:val="00DF3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7FB8D-1503-4F88-959E-829CBA63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8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F3818"/>
    <w:rPr>
      <w:color w:val="0000FF"/>
      <w:u w:val="single"/>
    </w:rPr>
  </w:style>
  <w:style w:type="character" w:customStyle="1" w:styleId="apple-tab-span">
    <w:name w:val="apple-tab-span"/>
    <w:basedOn w:val="DefaultParagraphFont"/>
    <w:rsid w:val="00DF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depreciationregister.com.au" TargetMode="External"/><Relationship Id="rId5" Type="http://schemas.openxmlformats.org/officeDocument/2006/relationships/hyperlink" Target="https://www.nationaldepreciationregister.com.au/" TargetMode="External"/><Relationship Id="rId4" Type="http://schemas.openxmlformats.org/officeDocument/2006/relationships/hyperlink" Target="http://www.nationaldepreciationregis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dc:creator>
  <cp:keywords/>
  <dc:description/>
  <cp:lastModifiedBy>Joe G</cp:lastModifiedBy>
  <cp:revision>1</cp:revision>
  <dcterms:created xsi:type="dcterms:W3CDTF">2018-02-22T04:37:00Z</dcterms:created>
  <dcterms:modified xsi:type="dcterms:W3CDTF">2018-02-22T04:45:00Z</dcterms:modified>
</cp:coreProperties>
</file>